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30B06" w14:textId="42B694A6" w:rsidR="00E66388" w:rsidRDefault="007217C7"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Digitální měny centrálních bank </w:t>
      </w:r>
      <w:r w:rsidRPr="007217C7">
        <w:rPr>
          <w:rFonts w:ascii="Invesco Interstate Bold" w:hAnsi="Invesco Interstate Bold"/>
          <w:b/>
          <w:bCs/>
          <w:sz w:val="28"/>
          <w:szCs w:val="28"/>
        </w:rPr>
        <w:t>–</w:t>
      </w:r>
      <w:r w:rsidR="00B65FA4">
        <w:rPr>
          <w:rFonts w:ascii="Invesco Interstate Bold" w:hAnsi="Invesco Interstate Bold"/>
          <w:b/>
          <w:bCs/>
          <w:sz w:val="28"/>
          <w:szCs w:val="28"/>
        </w:rPr>
        <w:t xml:space="preserve"> </w:t>
      </w:r>
      <w:r>
        <w:rPr>
          <w:rFonts w:ascii="Invesco Interstate Bold" w:hAnsi="Invesco Interstate Bold"/>
          <w:b/>
          <w:bCs/>
          <w:sz w:val="28"/>
          <w:szCs w:val="28"/>
        </w:rPr>
        <w:t>Budoucnost peněz?</w:t>
      </w:r>
    </w:p>
    <w:p w14:paraId="2D968AA3" w14:textId="0F5010B5" w:rsidR="00F51E20" w:rsidRPr="001F6A31" w:rsidRDefault="007217C7" w:rsidP="00916408">
      <w:pPr>
        <w:spacing w:before="100" w:beforeAutospacing="1" w:afterAutospacing="1" w:line="240" w:lineRule="auto"/>
        <w:jc w:val="both"/>
        <w:rPr>
          <w:rFonts w:ascii="Invesco Interstate Bold" w:hAnsi="Invesco Interstate Bold"/>
          <w:b/>
          <w:bCs/>
          <w:sz w:val="24"/>
          <w:szCs w:val="24"/>
        </w:rPr>
      </w:pPr>
      <w:r>
        <w:rPr>
          <w:rFonts w:ascii="Invesco Interstate Bold" w:hAnsi="Invesco Interstate Bold"/>
          <w:b/>
          <w:bCs/>
          <w:sz w:val="24"/>
          <w:szCs w:val="24"/>
        </w:rPr>
        <w:t>Komentář</w:t>
      </w:r>
      <w:r w:rsidR="001F6A31" w:rsidRPr="001F6A31">
        <w:rPr>
          <w:rFonts w:ascii="Invesco Interstate Bold" w:hAnsi="Invesco Interstate Bold"/>
          <w:b/>
          <w:bCs/>
          <w:sz w:val="24"/>
          <w:szCs w:val="24"/>
        </w:rPr>
        <w:t xml:space="preserve"> </w:t>
      </w:r>
      <w:r>
        <w:rPr>
          <w:rFonts w:ascii="Invesco Interstate Bold" w:hAnsi="Invesco Interstate Bold"/>
          <w:b/>
          <w:bCs/>
          <w:sz w:val="24"/>
          <w:szCs w:val="24"/>
        </w:rPr>
        <w:t xml:space="preserve">Ashley </w:t>
      </w:r>
      <w:proofErr w:type="spellStart"/>
      <w:r>
        <w:rPr>
          <w:rFonts w:ascii="Invesco Interstate Bold" w:hAnsi="Invesco Interstate Bold"/>
          <w:b/>
          <w:bCs/>
          <w:sz w:val="24"/>
          <w:szCs w:val="24"/>
        </w:rPr>
        <w:t>Oerth</w:t>
      </w:r>
      <w:proofErr w:type="spellEnd"/>
      <w:r w:rsidR="001F6A31" w:rsidRPr="001F6A31">
        <w:rPr>
          <w:rFonts w:ascii="Invesco Interstate Bold" w:hAnsi="Invesco Interstate Bold"/>
          <w:b/>
          <w:bCs/>
          <w:sz w:val="24"/>
          <w:szCs w:val="24"/>
        </w:rPr>
        <w:t xml:space="preserve">, </w:t>
      </w:r>
      <w:r>
        <w:rPr>
          <w:rFonts w:ascii="Invesco Interstate Bold" w:hAnsi="Invesco Interstate Bold"/>
          <w:b/>
          <w:bCs/>
          <w:sz w:val="24"/>
          <w:szCs w:val="24"/>
        </w:rPr>
        <w:t xml:space="preserve">Senior </w:t>
      </w:r>
      <w:proofErr w:type="spellStart"/>
      <w:r>
        <w:rPr>
          <w:rFonts w:ascii="Invesco Interstate Bold" w:hAnsi="Invesco Interstate Bold"/>
          <w:b/>
          <w:bCs/>
          <w:sz w:val="24"/>
          <w:szCs w:val="24"/>
        </w:rPr>
        <w:t>Investment</w:t>
      </w:r>
      <w:proofErr w:type="spellEnd"/>
      <w:r>
        <w:rPr>
          <w:rFonts w:ascii="Invesco Interstate Bold" w:hAnsi="Invesco Interstate Bold"/>
          <w:b/>
          <w:bCs/>
          <w:sz w:val="24"/>
          <w:szCs w:val="24"/>
        </w:rPr>
        <w:t xml:space="preserve"> </w:t>
      </w:r>
      <w:proofErr w:type="spellStart"/>
      <w:r>
        <w:rPr>
          <w:rFonts w:ascii="Invesco Interstate Bold" w:hAnsi="Invesco Interstate Bold"/>
          <w:b/>
          <w:bCs/>
          <w:sz w:val="24"/>
          <w:szCs w:val="24"/>
        </w:rPr>
        <w:t>Strategy</w:t>
      </w:r>
      <w:proofErr w:type="spellEnd"/>
      <w:r>
        <w:rPr>
          <w:rFonts w:ascii="Invesco Interstate Bold" w:hAnsi="Invesco Interstate Bold"/>
          <w:b/>
          <w:bCs/>
          <w:sz w:val="24"/>
          <w:szCs w:val="24"/>
        </w:rPr>
        <w:t xml:space="preserve"> </w:t>
      </w:r>
      <w:proofErr w:type="spellStart"/>
      <w:r>
        <w:rPr>
          <w:rFonts w:ascii="Invesco Interstate Bold" w:hAnsi="Invesco Interstate Bold"/>
          <w:b/>
          <w:bCs/>
          <w:sz w:val="24"/>
          <w:szCs w:val="24"/>
        </w:rPr>
        <w:t>Analyst</w:t>
      </w:r>
      <w:proofErr w:type="spellEnd"/>
      <w:r w:rsidR="001F6A31" w:rsidRPr="001F6A31">
        <w:rPr>
          <w:rFonts w:ascii="Invesco Interstate Bold" w:hAnsi="Invesco Interstate Bold"/>
          <w:b/>
          <w:bCs/>
          <w:sz w:val="24"/>
          <w:szCs w:val="24"/>
        </w:rPr>
        <w:t xml:space="preserve">, </w:t>
      </w:r>
      <w:proofErr w:type="spellStart"/>
      <w:r w:rsidR="001F6A31" w:rsidRPr="001F6A31">
        <w:rPr>
          <w:rFonts w:ascii="Invesco Interstate Bold" w:hAnsi="Invesco Interstate Bold"/>
          <w:b/>
          <w:bCs/>
          <w:sz w:val="24"/>
          <w:szCs w:val="24"/>
        </w:rPr>
        <w:t>Invesco</w:t>
      </w:r>
      <w:proofErr w:type="spellEnd"/>
      <w:r w:rsidR="001F6A31" w:rsidRPr="001F6A31">
        <w:rPr>
          <w:rFonts w:ascii="Invesco Interstate Bold" w:hAnsi="Invesco Interstate Bold"/>
          <w:b/>
          <w:bCs/>
          <w:sz w:val="24"/>
          <w:szCs w:val="24"/>
        </w:rPr>
        <w:t xml:space="preserve"> Ltd.</w:t>
      </w:r>
    </w:p>
    <w:p w14:paraId="05A2C1AD" w14:textId="38E26456" w:rsidR="007217C7" w:rsidRPr="007217C7" w:rsidRDefault="007217C7" w:rsidP="007217C7">
      <w:pPr>
        <w:spacing w:before="100" w:beforeAutospacing="1" w:afterAutospacing="1" w:line="360" w:lineRule="auto"/>
        <w:jc w:val="both"/>
        <w:rPr>
          <w:rFonts w:ascii="Invesco Interstate Light" w:hAnsi="Invesco Interstate Light"/>
          <w:b/>
          <w:bCs/>
          <w:sz w:val="22"/>
          <w:szCs w:val="22"/>
        </w:rPr>
      </w:pPr>
      <w:r w:rsidRPr="007217C7">
        <w:rPr>
          <w:rFonts w:ascii="Invesco Interstate Light" w:hAnsi="Invesco Interstate Light"/>
          <w:b/>
          <w:bCs/>
          <w:sz w:val="22"/>
          <w:szCs w:val="22"/>
        </w:rPr>
        <w:t>Digitální měny centrálních bank (CBDC) jsou digitalizovanou měnou s nuceným oběhem. V současné době se digitálními měnami centrálních bank aktivně zabývá 130 zemí, které tvoří 98 % světového HDP. Z toho 31 zemí provádí (nebo dokončilo) pilotní studii. Některé menší centrální banky v Karibiku již dokonce CBDC vydaly</w:t>
      </w:r>
      <w:r>
        <w:rPr>
          <w:rFonts w:ascii="Invesco Interstate Light" w:hAnsi="Invesco Interstate Light"/>
          <w:b/>
          <w:bCs/>
          <w:sz w:val="22"/>
          <w:szCs w:val="22"/>
        </w:rPr>
        <w:t>,</w:t>
      </w:r>
      <w:r w:rsidRPr="007217C7">
        <w:rPr>
          <w:rFonts w:ascii="Invesco Interstate Light" w:hAnsi="Invesco Interstate Light"/>
          <w:b/>
          <w:bCs/>
          <w:sz w:val="22"/>
          <w:szCs w:val="22"/>
        </w:rPr>
        <w:t xml:space="preserve"> a dokonce i Čína postupně pokračuje v rozšiřování svého pilotního projektu "digitálního jüanu". O co tedy jde?</w:t>
      </w:r>
    </w:p>
    <w:p w14:paraId="2C3B6216" w14:textId="28240804" w:rsidR="00F92020" w:rsidRPr="00A92778" w:rsidRDefault="007217C7"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Aktuální trendy u peněz</w:t>
      </w:r>
    </w:p>
    <w:p w14:paraId="0056CAED" w14:textId="77777777" w:rsidR="007217C7"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Nemáme ještě digitální peníze? Debetní a kreditní karty již dlouho umožňují převody prostředků. Novější inovace v oblasti soukromých plateb a fintech zvětšily rychlost a dostupnost digitálních finančních služeb. Už dlouho také existují řešení zajišťovaná státem, včetně bankovních rezerv držených digitálně v centrálních bankách. Jaký je tedy problém u digitalizovaných měn s nuceným oběhem?</w:t>
      </w:r>
    </w:p>
    <w:p w14:paraId="4FD0B9AF" w14:textId="4350C425" w:rsidR="007217C7" w:rsidRPr="007217C7"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Existují dva důležité body, kvůli nimž digitální měny centrálních bank mohou upravit stávající měnový systém.</w:t>
      </w:r>
    </w:p>
    <w:p w14:paraId="18420324" w14:textId="4C221330" w:rsidR="00F92020" w:rsidRPr="00A92778" w:rsidRDefault="007217C7"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Otázka pasiv</w:t>
      </w:r>
    </w:p>
    <w:p w14:paraId="56FECE52" w14:textId="7A52C5D6" w:rsidR="00F92020"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Zaprvé, peníze mají mnoho podob a oficiální možnost digitálních plateb vypadá, že je stále žádanější. Pro běžného člověka je papírový dolar na bankovním účtu stejným dolarem i v digitální podobě. Ve své nejčistší podobě jsou peníze pasivem. Kdysi byla papírová měna pasivem bank. Vznikala tak, že zákazníci uložili v bance určité množství zlata. Pokud se rozhodli, mohli zákazníci zlato vyměnit za peníze, čímž se závazek uzavřel.</w:t>
      </w:r>
    </w:p>
    <w:p w14:paraId="414CF7AD" w14:textId="1906CE8A" w:rsidR="00F92020"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Dnes se hotovost uložená na bankovní účet mění na "vklad na požádání". Zákazníci mohou jít do banky a vybrat si svůj vklad, kdykoli si přejí, a získají za něj fyzickou měnu s nuceným oběhem (která sama o sobě představuje závazek centrální banky). V nejhorším případě se může stát, že banka nebude mít dostatek peněz, aby mohla vyplatit vkladatele, kteří si chtějí vybrat hotovost. V tomto případě je důležité pojištění vkladů, které obvykle garantuje hotovost pro vklady do určitého limitu.</w:t>
      </w:r>
    </w:p>
    <w:p w14:paraId="66B9A0D1" w14:textId="77777777" w:rsidR="007217C7" w:rsidRPr="007217C7" w:rsidRDefault="007217C7" w:rsidP="007217C7">
      <w:pPr>
        <w:spacing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 xml:space="preserve">V případě digitálních platebních služeb, jako je PayPal, aplikace </w:t>
      </w:r>
      <w:proofErr w:type="spellStart"/>
      <w:r w:rsidRPr="007217C7">
        <w:rPr>
          <w:rFonts w:ascii="Invesco Interstate Light" w:eastAsiaTheme="minorEastAsia" w:hAnsi="Invesco Interstate Light"/>
          <w:sz w:val="22"/>
          <w:szCs w:val="22"/>
        </w:rPr>
        <w:t>Block's</w:t>
      </w:r>
      <w:proofErr w:type="spellEnd"/>
      <w:r w:rsidRPr="007217C7">
        <w:rPr>
          <w:rFonts w:ascii="Invesco Interstate Light" w:eastAsiaTheme="minorEastAsia" w:hAnsi="Invesco Interstate Light"/>
          <w:sz w:val="22"/>
          <w:szCs w:val="22"/>
        </w:rPr>
        <w:t xml:space="preserve"> Cash, </w:t>
      </w:r>
      <w:proofErr w:type="spellStart"/>
      <w:r w:rsidRPr="007217C7">
        <w:rPr>
          <w:rFonts w:ascii="Invesco Interstate Light" w:eastAsiaTheme="minorEastAsia" w:hAnsi="Invesco Interstate Light"/>
          <w:sz w:val="22"/>
          <w:szCs w:val="22"/>
        </w:rPr>
        <w:t>AliPay</w:t>
      </w:r>
      <w:proofErr w:type="spellEnd"/>
      <w:r w:rsidRPr="007217C7">
        <w:rPr>
          <w:rFonts w:ascii="Invesco Interstate Light" w:eastAsiaTheme="minorEastAsia" w:hAnsi="Invesco Interstate Light"/>
          <w:sz w:val="22"/>
          <w:szCs w:val="22"/>
        </w:rPr>
        <w:t xml:space="preserve">, </w:t>
      </w:r>
      <w:proofErr w:type="spellStart"/>
      <w:r w:rsidRPr="007217C7">
        <w:rPr>
          <w:rFonts w:ascii="Invesco Interstate Light" w:eastAsiaTheme="minorEastAsia" w:hAnsi="Invesco Interstate Light"/>
          <w:sz w:val="22"/>
          <w:szCs w:val="22"/>
        </w:rPr>
        <w:t>WePay</w:t>
      </w:r>
      <w:proofErr w:type="spellEnd"/>
      <w:r w:rsidRPr="007217C7">
        <w:rPr>
          <w:rFonts w:ascii="Invesco Interstate Light" w:eastAsiaTheme="minorEastAsia" w:hAnsi="Invesco Interstate Light"/>
          <w:sz w:val="22"/>
          <w:szCs w:val="22"/>
        </w:rPr>
        <w:t xml:space="preserve"> a další, jsou zůstatky na těchto platformách v podstatě účetními záznamy. Podkladové prostředky jsou přitom drženy na bankovním účtu. Pohyby zůstatků probíhají v uzavřeném „ekosystému“, kde software aktualizuje, kdo má v daném okamžiku kolik peněz. Když zákazník vybere zůstatek z platformy, sníží se fond zůstatků v uzavřeném systému a dojde k výběru i z bankovního účtu platformy. </w:t>
      </w:r>
    </w:p>
    <w:p w14:paraId="1D912F39" w14:textId="77777777" w:rsidR="007217C7" w:rsidRDefault="007217C7" w:rsidP="00F92020">
      <w:pPr>
        <w:spacing w:line="276" w:lineRule="auto"/>
        <w:jc w:val="both"/>
        <w:rPr>
          <w:rFonts w:ascii="Arial" w:hAnsi="Arial" w:cs="Arial"/>
          <w:color w:val="000000"/>
          <w:lang w:eastAsia="cs-CZ"/>
        </w:rPr>
      </w:pPr>
    </w:p>
    <w:p w14:paraId="7CDFA07E" w14:textId="77777777" w:rsidR="007217C7" w:rsidRDefault="007217C7" w:rsidP="007217C7">
      <w:pPr>
        <w:spacing w:before="100" w:beforeAutospacing="1"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lastRenderedPageBreak/>
        <w:t>Tyto uzavřené ekosystémy tvoří stále větší podíl plateb. To představuje riziko v případě podvodu, nevhodného spravování nebo náhlé ztráty důvěry v tyto systémy.</w:t>
      </w:r>
    </w:p>
    <w:p w14:paraId="0F9FE478" w14:textId="345A4A13" w:rsidR="007217C7" w:rsidRPr="007217C7" w:rsidRDefault="007217C7" w:rsidP="007217C7">
      <w:pPr>
        <w:spacing w:before="100" w:beforeAutospacing="1"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Digitální měny centrálních bank jsou naproti tomu digitální formou papírové měny. Takové měny jsou závazky centrální banky, nikoliv soukromého podniku nebo bank. Peníze centrální banky jsou jediným měnovým aktivem bez úvěrového rizika nebo rizika protistrany. Jejich směna se považuje za konečné vypořádání dluhu. Vzhledem k tomu, že transakce se stále častěji uskutečňují v uzavřených digitálních platebních ekosystémech, vzniká další riziko protistrany. Zavedení digitální měny s nuceným oběhem by poskytlo oficiální platební řešení pro běžného člověka a podnikatele a pomohlo by přitom snížit riziko protistrany.</w:t>
      </w:r>
    </w:p>
    <w:p w14:paraId="5C9AACE1" w14:textId="770080A5" w:rsidR="00F92020" w:rsidRPr="00A92778" w:rsidRDefault="007217C7" w:rsidP="00F92020">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Urychlení vypořádání</w:t>
      </w:r>
    </w:p>
    <w:p w14:paraId="5D2DE74C" w14:textId="326DD741" w:rsidR="007217C7" w:rsidRPr="007217C7" w:rsidRDefault="007217C7" w:rsidP="007217C7">
      <w:pPr>
        <w:spacing w:before="100" w:beforeAutospacing="1"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Za druhé, to,</w:t>
      </w:r>
      <w:r>
        <w:rPr>
          <w:rFonts w:ascii="Invesco Interstate Light" w:eastAsiaTheme="minorEastAsia" w:hAnsi="Invesco Interstate Light"/>
          <w:sz w:val="22"/>
          <w:szCs w:val="22"/>
        </w:rPr>
        <w:t xml:space="preserve"> </w:t>
      </w:r>
      <w:r w:rsidRPr="007217C7">
        <w:rPr>
          <w:rFonts w:ascii="Invesco Interstate Light" w:eastAsiaTheme="minorEastAsia" w:hAnsi="Invesco Interstate Light"/>
          <w:sz w:val="22"/>
          <w:szCs w:val="22"/>
        </w:rPr>
        <w:t xml:space="preserve">čím by digitální měny centrálních bank mohly změnit měnový systém, je rychlost transakcí. Dnešní bankovní systém lze charakterizovat jako dvoustupňový: centrální banka slouží jako banka komerčním bankám a komerční banky poskytují bankovní služby jak klientům, tak podnikům. Když zákazník provede transakci s firmou, je uzavřena dohoda, podle níž banka A tohoto zákazníka provede převod do banky B příslušné firmy. Obvykle je na účtu zákazníka okamžitě blokovaná daná částka, ale konečné vypořádání transakce může trvat několik dní, přičemž závěrem transakce je konečná výměna rezerv centrální banky mezi bankou A </w:t>
      </w:r>
      <w:proofErr w:type="spellStart"/>
      <w:r w:rsidRPr="007217C7">
        <w:rPr>
          <w:rFonts w:ascii="Invesco Interstate Light" w:eastAsiaTheme="minorEastAsia" w:hAnsi="Invesco Interstate Light"/>
          <w:sz w:val="22"/>
          <w:szCs w:val="22"/>
        </w:rPr>
        <w:t>a</w:t>
      </w:r>
      <w:proofErr w:type="spellEnd"/>
      <w:r w:rsidRPr="007217C7">
        <w:rPr>
          <w:rFonts w:ascii="Invesco Interstate Light" w:eastAsiaTheme="minorEastAsia" w:hAnsi="Invesco Interstate Light"/>
          <w:sz w:val="22"/>
          <w:szCs w:val="22"/>
        </w:rPr>
        <w:t xml:space="preserve"> bankou B. Teprve poté firma obdrží své finanční prostředky.</w:t>
      </w:r>
    </w:p>
    <w:p w14:paraId="1722AF27" w14:textId="77777777" w:rsidR="007217C7" w:rsidRDefault="007217C7" w:rsidP="007217C7">
      <w:pPr>
        <w:spacing w:before="100" w:beforeAutospacing="1"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Retailová transakce by bylo podobná, je to jako kdyby každá osoba prováděla transakce s rezervami centrální banky, přičemž každý převod digitální měny by byl konečným vypořádáním transakce. Namísto robustního, ale pomalého systému kontrol, jako je tomu u dnešního systému vypořádání transakcí, by digitální měny centrálních bank měly umožnit mnohem plynulejší a rychlejší platby a snížit přitom riziko protistrany.</w:t>
      </w:r>
    </w:p>
    <w:p w14:paraId="040FC914" w14:textId="302EB7D2" w:rsidR="00754DC1" w:rsidRDefault="007217C7" w:rsidP="007217C7">
      <w:pPr>
        <w:spacing w:before="100" w:beforeAutospacing="1"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Oficiální digitální měna</w:t>
      </w:r>
    </w:p>
    <w:p w14:paraId="19F15AE3" w14:textId="70E184DB" w:rsidR="00007632" w:rsidRPr="007217C7" w:rsidRDefault="007217C7" w:rsidP="00891512">
      <w:pPr>
        <w:spacing w:before="100" w:beforeAutospacing="1"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 xml:space="preserve">Digitální měny centrálních bank se v podstatě pokouší poskytovat veřejný statek, podobně jako hotovost, který zachovává přístup k důvěryhodnému, státem garantovanému mechanismu pro vypořádání veřejných a soukromých dluhů. S nástupem kryptoměn – a zejména </w:t>
      </w:r>
      <w:proofErr w:type="spellStart"/>
      <w:r w:rsidRPr="007217C7">
        <w:rPr>
          <w:rFonts w:ascii="Invesco Interstate Light" w:eastAsiaTheme="minorEastAsia" w:hAnsi="Invesco Interstate Light"/>
          <w:sz w:val="22"/>
          <w:szCs w:val="22"/>
        </w:rPr>
        <w:t>stablecoinů</w:t>
      </w:r>
      <w:proofErr w:type="spellEnd"/>
      <w:r w:rsidRPr="007217C7">
        <w:rPr>
          <w:rFonts w:ascii="Invesco Interstate Light" w:eastAsiaTheme="minorEastAsia" w:hAnsi="Invesco Interstate Light"/>
          <w:sz w:val="22"/>
          <w:szCs w:val="22"/>
        </w:rPr>
        <w:t xml:space="preserve"> – v kombinaci s klesajícím používáním hotovosti napříč významnými ekonomikami se centrální banky vážně zabývají digitálními měnami. Digitální měny centrálních bank jsou totiž také opatřením k prosazení měnové suverenity. Jedná se o možnost státu a jeho centrální banky vydávat národní měnu a zároveň nezávisle sledovat cíle vlastní měnové politiky – a zároveň podporovat konkurenci a inovace v rámci platebních řešení i napříč spektrem řešení.</w:t>
      </w:r>
    </w:p>
    <w:p w14:paraId="25D8B2F5" w14:textId="14AA1CAA" w:rsidR="00007632" w:rsidRPr="00A92778" w:rsidRDefault="007217C7" w:rsidP="00007632">
      <w:pPr>
        <w:spacing w:before="100" w:beforeAutospacing="1" w:afterAutospacing="1" w:line="240" w:lineRule="auto"/>
        <w:rPr>
          <w:rFonts w:ascii="Arial" w:hAnsi="Arial" w:cs="Arial"/>
          <w:b/>
          <w:bCs/>
          <w:color w:val="000000"/>
          <w:sz w:val="24"/>
          <w:szCs w:val="24"/>
          <w:lang w:eastAsia="cs-CZ"/>
        </w:rPr>
      </w:pPr>
      <w:r>
        <w:rPr>
          <w:rFonts w:ascii="Invesco Interstate Light" w:hAnsi="Invesco Interstate Light"/>
          <w:b/>
          <w:bCs/>
          <w:sz w:val="22"/>
          <w:szCs w:val="22"/>
        </w:rPr>
        <w:t xml:space="preserve">Důsledky pro </w:t>
      </w:r>
      <w:proofErr w:type="spellStart"/>
      <w:r>
        <w:rPr>
          <w:rFonts w:ascii="Invesco Interstate Light" w:hAnsi="Invesco Interstate Light"/>
          <w:b/>
          <w:bCs/>
          <w:sz w:val="22"/>
          <w:szCs w:val="22"/>
        </w:rPr>
        <w:t>tokenizaci</w:t>
      </w:r>
      <w:proofErr w:type="spellEnd"/>
    </w:p>
    <w:p w14:paraId="61F83CBC" w14:textId="127293EF" w:rsidR="007217C7"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 xml:space="preserve">Návrhy na digitální měny centrálních bank se v hlavních ekonomikách stále zkoumají, přičemž o jejich podobě není ještě rozhodnuto. Jednou ze zajímavých možností je, že digitální měny mohou být </w:t>
      </w:r>
      <w:proofErr w:type="spellStart"/>
      <w:r w:rsidRPr="007217C7">
        <w:rPr>
          <w:rFonts w:ascii="Invesco Interstate Light" w:eastAsiaTheme="minorEastAsia" w:hAnsi="Invesco Interstate Light"/>
          <w:sz w:val="22"/>
          <w:szCs w:val="22"/>
        </w:rPr>
        <w:t>tokenizované</w:t>
      </w:r>
      <w:proofErr w:type="spellEnd"/>
      <w:r w:rsidRPr="007217C7">
        <w:rPr>
          <w:rFonts w:ascii="Invesco Interstate Light" w:eastAsiaTheme="minorEastAsia" w:hAnsi="Invesco Interstate Light"/>
          <w:sz w:val="22"/>
          <w:szCs w:val="22"/>
        </w:rPr>
        <w:t xml:space="preserve"> – navržené tak, aby fungovaly nativně s technologií účetní knihy. Ve velké části dnešního krypto ekosystému se místo měny v nuceném oběhu (</w:t>
      </w:r>
      <w:proofErr w:type="spellStart"/>
      <w:r w:rsidRPr="007217C7">
        <w:rPr>
          <w:rFonts w:ascii="Invesco Interstate Light" w:eastAsiaTheme="minorEastAsia" w:hAnsi="Invesco Interstate Light"/>
          <w:sz w:val="22"/>
          <w:szCs w:val="22"/>
        </w:rPr>
        <w:t>fiat</w:t>
      </w:r>
      <w:proofErr w:type="spellEnd"/>
      <w:r w:rsidRPr="007217C7">
        <w:rPr>
          <w:rFonts w:ascii="Invesco Interstate Light" w:eastAsiaTheme="minorEastAsia" w:hAnsi="Invesco Interstate Light"/>
          <w:sz w:val="22"/>
          <w:szCs w:val="22"/>
        </w:rPr>
        <w:t xml:space="preserve"> měně) používají </w:t>
      </w:r>
      <w:proofErr w:type="spellStart"/>
      <w:r w:rsidRPr="007217C7">
        <w:rPr>
          <w:rFonts w:ascii="Invesco Interstate Light" w:eastAsiaTheme="minorEastAsia" w:hAnsi="Invesco Interstate Light"/>
          <w:sz w:val="22"/>
          <w:szCs w:val="22"/>
        </w:rPr>
        <w:t>stablecoiny</w:t>
      </w:r>
      <w:proofErr w:type="spellEnd"/>
      <w:r w:rsidRPr="007217C7">
        <w:rPr>
          <w:rFonts w:ascii="Invesco Interstate Light" w:eastAsiaTheme="minorEastAsia" w:hAnsi="Invesco Interstate Light"/>
          <w:sz w:val="22"/>
          <w:szCs w:val="22"/>
        </w:rPr>
        <w:t xml:space="preserve">, protože neexistuje jiný způsob, jak reprezentovat částky ve </w:t>
      </w:r>
      <w:proofErr w:type="spellStart"/>
      <w:r w:rsidRPr="007217C7">
        <w:rPr>
          <w:rFonts w:ascii="Invesco Interstate Light" w:eastAsiaTheme="minorEastAsia" w:hAnsi="Invesco Interstate Light"/>
          <w:sz w:val="22"/>
          <w:szCs w:val="22"/>
        </w:rPr>
        <w:t>fiat</w:t>
      </w:r>
      <w:proofErr w:type="spellEnd"/>
      <w:r w:rsidRPr="007217C7">
        <w:rPr>
          <w:rFonts w:ascii="Invesco Interstate Light" w:eastAsiaTheme="minorEastAsia" w:hAnsi="Invesco Interstate Light"/>
          <w:sz w:val="22"/>
          <w:szCs w:val="22"/>
        </w:rPr>
        <w:t xml:space="preserve"> měně. Například </w:t>
      </w:r>
      <w:proofErr w:type="spellStart"/>
      <w:r w:rsidRPr="007217C7">
        <w:rPr>
          <w:rFonts w:ascii="Invesco Interstate Light" w:eastAsiaTheme="minorEastAsia" w:hAnsi="Invesco Interstate Light"/>
          <w:sz w:val="22"/>
          <w:szCs w:val="22"/>
        </w:rPr>
        <w:t>stablecoiny</w:t>
      </w:r>
      <w:proofErr w:type="spellEnd"/>
      <w:r w:rsidRPr="007217C7">
        <w:rPr>
          <w:rFonts w:ascii="Invesco Interstate Light" w:eastAsiaTheme="minorEastAsia" w:hAnsi="Invesco Interstate Light"/>
          <w:sz w:val="22"/>
          <w:szCs w:val="22"/>
        </w:rPr>
        <w:t xml:space="preserve"> kryté aktivy jsou reprezentací vkladů ve </w:t>
      </w:r>
      <w:proofErr w:type="spellStart"/>
      <w:r w:rsidRPr="007217C7">
        <w:rPr>
          <w:rFonts w:ascii="Invesco Interstate Light" w:eastAsiaTheme="minorEastAsia" w:hAnsi="Invesco Interstate Light"/>
          <w:sz w:val="22"/>
          <w:szCs w:val="22"/>
        </w:rPr>
        <w:t>fiat</w:t>
      </w:r>
      <w:proofErr w:type="spellEnd"/>
      <w:r w:rsidRPr="007217C7">
        <w:rPr>
          <w:rFonts w:ascii="Invesco Interstate Light" w:eastAsiaTheme="minorEastAsia" w:hAnsi="Invesco Interstate Light"/>
          <w:sz w:val="22"/>
          <w:szCs w:val="22"/>
        </w:rPr>
        <w:t xml:space="preserve"> měně </w:t>
      </w:r>
      <w:r w:rsidRPr="007217C7">
        <w:rPr>
          <w:rFonts w:ascii="Invesco Interstate Light" w:eastAsiaTheme="minorEastAsia" w:hAnsi="Invesco Interstate Light"/>
          <w:sz w:val="22"/>
          <w:szCs w:val="22"/>
        </w:rPr>
        <w:lastRenderedPageBreak/>
        <w:t xml:space="preserve">v držení správcovské společnosti, která vydává </w:t>
      </w:r>
      <w:proofErr w:type="spellStart"/>
      <w:r w:rsidRPr="007217C7">
        <w:rPr>
          <w:rFonts w:ascii="Invesco Interstate Light" w:eastAsiaTheme="minorEastAsia" w:hAnsi="Invesco Interstate Light"/>
          <w:sz w:val="22"/>
          <w:szCs w:val="22"/>
        </w:rPr>
        <w:t>stablecoiny</w:t>
      </w:r>
      <w:proofErr w:type="spellEnd"/>
      <w:r w:rsidRPr="007217C7">
        <w:rPr>
          <w:rFonts w:ascii="Invesco Interstate Light" w:eastAsiaTheme="minorEastAsia" w:hAnsi="Invesco Interstate Light"/>
          <w:sz w:val="22"/>
          <w:szCs w:val="22"/>
        </w:rPr>
        <w:t xml:space="preserve"> navázané na tyto vklady. V ideálním scénáři je každý dolar </w:t>
      </w:r>
      <w:proofErr w:type="spellStart"/>
      <w:r w:rsidRPr="007217C7">
        <w:rPr>
          <w:rFonts w:ascii="Invesco Interstate Light" w:eastAsiaTheme="minorEastAsia" w:hAnsi="Invesco Interstate Light"/>
          <w:sz w:val="22"/>
          <w:szCs w:val="22"/>
        </w:rPr>
        <w:t>stablecoinu</w:t>
      </w:r>
      <w:proofErr w:type="spellEnd"/>
      <w:r w:rsidRPr="007217C7">
        <w:rPr>
          <w:rFonts w:ascii="Invesco Interstate Light" w:eastAsiaTheme="minorEastAsia" w:hAnsi="Invesco Interstate Light"/>
          <w:sz w:val="22"/>
          <w:szCs w:val="22"/>
        </w:rPr>
        <w:t xml:space="preserve"> krytý aktivy v hodnotě jednoho dolaru.</w:t>
      </w:r>
    </w:p>
    <w:p w14:paraId="64883C70" w14:textId="77777777" w:rsidR="007217C7"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r w:rsidRPr="007217C7">
        <w:rPr>
          <w:rFonts w:ascii="Invesco Interstate Light" w:eastAsiaTheme="minorEastAsia" w:hAnsi="Invesco Interstate Light"/>
          <w:sz w:val="22"/>
          <w:szCs w:val="22"/>
        </w:rPr>
        <w:t xml:space="preserve">V případě </w:t>
      </w:r>
      <w:proofErr w:type="spellStart"/>
      <w:r w:rsidRPr="007217C7">
        <w:rPr>
          <w:rFonts w:ascii="Invesco Interstate Light" w:eastAsiaTheme="minorEastAsia" w:hAnsi="Invesco Interstate Light"/>
          <w:sz w:val="22"/>
          <w:szCs w:val="22"/>
        </w:rPr>
        <w:t>tokenizace</w:t>
      </w:r>
      <w:proofErr w:type="spellEnd"/>
      <w:r w:rsidRPr="007217C7">
        <w:rPr>
          <w:rFonts w:ascii="Invesco Interstate Light" w:eastAsiaTheme="minorEastAsia" w:hAnsi="Invesco Interstate Light"/>
          <w:sz w:val="22"/>
          <w:szCs w:val="22"/>
        </w:rPr>
        <w:t xml:space="preserve"> by digitální měny centrálních bank odstranily potřebu používat </w:t>
      </w:r>
      <w:proofErr w:type="spellStart"/>
      <w:r w:rsidRPr="007217C7">
        <w:rPr>
          <w:rFonts w:ascii="Invesco Interstate Light" w:eastAsiaTheme="minorEastAsia" w:hAnsi="Invesco Interstate Light"/>
          <w:sz w:val="22"/>
          <w:szCs w:val="22"/>
        </w:rPr>
        <w:t>stablecoiny</w:t>
      </w:r>
      <w:proofErr w:type="spellEnd"/>
      <w:r w:rsidRPr="007217C7">
        <w:rPr>
          <w:rFonts w:ascii="Invesco Interstate Light" w:eastAsiaTheme="minorEastAsia" w:hAnsi="Invesco Interstate Light"/>
          <w:sz w:val="22"/>
          <w:szCs w:val="22"/>
        </w:rPr>
        <w:t xml:space="preserve"> tím, že by poskytly řešení založené na blockchainu, a pomohly by tak snížit úvěrové riziko a riziko protistrany. Digitální měny centrálních bank by tedy mohly pomoci umožnit vznik finančního systému založeného na </w:t>
      </w:r>
      <w:proofErr w:type="spellStart"/>
      <w:r w:rsidRPr="007217C7">
        <w:rPr>
          <w:rFonts w:ascii="Invesco Interstate Light" w:eastAsiaTheme="minorEastAsia" w:hAnsi="Invesco Interstate Light"/>
          <w:sz w:val="22"/>
          <w:szCs w:val="22"/>
        </w:rPr>
        <w:t>tokenizaci</w:t>
      </w:r>
      <w:proofErr w:type="spellEnd"/>
      <w:r w:rsidRPr="007217C7">
        <w:rPr>
          <w:rFonts w:ascii="Invesco Interstate Light" w:eastAsiaTheme="minorEastAsia" w:hAnsi="Invesco Interstate Light"/>
          <w:sz w:val="22"/>
          <w:szCs w:val="22"/>
        </w:rPr>
        <w:t>, což by pravděpodobně zvýšilo rychlost plateb a výměnu aktiv.</w:t>
      </w:r>
    </w:p>
    <w:p w14:paraId="40141392" w14:textId="3FB48963" w:rsidR="00891512" w:rsidRPr="00891512" w:rsidRDefault="00891512" w:rsidP="00891512">
      <w:pPr>
        <w:spacing w:line="276" w:lineRule="auto"/>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Celkově se trend promítá i v investičních řešeních. Společnost </w:t>
      </w:r>
      <w:proofErr w:type="spellStart"/>
      <w:r>
        <w:rPr>
          <w:rFonts w:ascii="Invesco Interstate Light" w:eastAsiaTheme="minorEastAsia" w:hAnsi="Invesco Interstate Light"/>
          <w:sz w:val="22"/>
          <w:szCs w:val="22"/>
        </w:rPr>
        <w:t>Invesco</w:t>
      </w:r>
      <w:proofErr w:type="spellEnd"/>
      <w:r>
        <w:rPr>
          <w:rFonts w:ascii="Invesco Interstate Light" w:eastAsiaTheme="minorEastAsia" w:hAnsi="Invesco Interstate Light"/>
          <w:sz w:val="22"/>
          <w:szCs w:val="22"/>
        </w:rPr>
        <w:t xml:space="preserve"> přináší svým zákazníkům možnost investovat do ETF </w:t>
      </w:r>
      <w:proofErr w:type="spellStart"/>
      <w:r w:rsidRPr="00891512">
        <w:rPr>
          <w:rFonts w:ascii="Invesco Interstate Light" w:eastAsiaTheme="minorEastAsia" w:hAnsi="Invesco Interstate Light"/>
          <w:sz w:val="22"/>
          <w:szCs w:val="22"/>
        </w:rPr>
        <w:t>Invesco</w:t>
      </w:r>
      <w:proofErr w:type="spellEnd"/>
      <w:r w:rsidRPr="00891512">
        <w:rPr>
          <w:rFonts w:ascii="Invesco Interstate Light" w:eastAsiaTheme="minorEastAsia" w:hAnsi="Invesco Interstate Light"/>
          <w:sz w:val="22"/>
          <w:szCs w:val="22"/>
        </w:rPr>
        <w:t xml:space="preserve"> </w:t>
      </w:r>
      <w:proofErr w:type="spellStart"/>
      <w:r w:rsidRPr="00891512">
        <w:rPr>
          <w:rFonts w:ascii="Invesco Interstate Light" w:eastAsiaTheme="minorEastAsia" w:hAnsi="Invesco Interstate Light"/>
          <w:sz w:val="22"/>
          <w:szCs w:val="22"/>
        </w:rPr>
        <w:t>CoinShares</w:t>
      </w:r>
      <w:proofErr w:type="spellEnd"/>
      <w:r w:rsidRPr="00891512">
        <w:rPr>
          <w:rFonts w:ascii="Invesco Interstate Light" w:eastAsiaTheme="minorEastAsia" w:hAnsi="Invesco Interstate Light"/>
          <w:sz w:val="22"/>
          <w:szCs w:val="22"/>
        </w:rPr>
        <w:t xml:space="preserve"> </w:t>
      </w:r>
      <w:proofErr w:type="spellStart"/>
      <w:r w:rsidRPr="00891512">
        <w:rPr>
          <w:rFonts w:ascii="Invesco Interstate Light" w:eastAsiaTheme="minorEastAsia" w:hAnsi="Invesco Interstate Light"/>
          <w:sz w:val="22"/>
          <w:szCs w:val="22"/>
        </w:rPr>
        <w:t>Global</w:t>
      </w:r>
      <w:proofErr w:type="spellEnd"/>
      <w:r w:rsidRPr="00891512">
        <w:rPr>
          <w:rFonts w:ascii="Invesco Interstate Light" w:eastAsiaTheme="minorEastAsia" w:hAnsi="Invesco Interstate Light"/>
          <w:sz w:val="22"/>
          <w:szCs w:val="22"/>
        </w:rPr>
        <w:t xml:space="preserve"> Blockchain UCITS. Cílem tohoto fondu je následovat výkonnost indexu </w:t>
      </w:r>
      <w:proofErr w:type="spellStart"/>
      <w:r w:rsidRPr="00891512">
        <w:rPr>
          <w:rFonts w:ascii="Invesco Interstate Light" w:eastAsiaTheme="minorEastAsia" w:hAnsi="Invesco Interstate Light"/>
          <w:sz w:val="22"/>
          <w:szCs w:val="22"/>
        </w:rPr>
        <w:t>CoinShares</w:t>
      </w:r>
      <w:proofErr w:type="spellEnd"/>
      <w:r w:rsidRPr="00891512">
        <w:rPr>
          <w:rFonts w:ascii="Invesco Interstate Light" w:eastAsiaTheme="minorEastAsia" w:hAnsi="Invesco Interstate Light"/>
          <w:sz w:val="22"/>
          <w:szCs w:val="22"/>
        </w:rPr>
        <w:t xml:space="preserve"> Blockchain</w:t>
      </w:r>
      <w:r>
        <w:rPr>
          <w:rFonts w:ascii="Invesco Interstate Light" w:eastAsiaTheme="minorEastAsia" w:hAnsi="Invesco Interstate Light"/>
          <w:sz w:val="22"/>
          <w:szCs w:val="22"/>
        </w:rPr>
        <w:t>. „</w:t>
      </w:r>
      <w:r w:rsidRPr="00256D39">
        <w:rPr>
          <w:rFonts w:ascii="Invesco Interstate Light" w:eastAsiaTheme="minorEastAsia" w:hAnsi="Invesco Interstate Light"/>
          <w:i/>
          <w:iCs/>
          <w:sz w:val="22"/>
          <w:szCs w:val="22"/>
        </w:rPr>
        <w:t xml:space="preserve">Tento index sleduje výkonnost globálních společností zapojených do </w:t>
      </w:r>
      <w:proofErr w:type="spellStart"/>
      <w:r w:rsidRPr="00256D39">
        <w:rPr>
          <w:rFonts w:ascii="Invesco Interstate Light" w:eastAsiaTheme="minorEastAsia" w:hAnsi="Invesco Interstate Light"/>
          <w:i/>
          <w:iCs/>
          <w:sz w:val="22"/>
          <w:szCs w:val="22"/>
        </w:rPr>
        <w:t>blockchainového</w:t>
      </w:r>
      <w:proofErr w:type="spellEnd"/>
      <w:r w:rsidRPr="00256D39">
        <w:rPr>
          <w:rFonts w:ascii="Invesco Interstate Light" w:eastAsiaTheme="minorEastAsia" w:hAnsi="Invesco Interstate Light"/>
          <w:i/>
          <w:iCs/>
          <w:sz w:val="22"/>
          <w:szCs w:val="22"/>
        </w:rPr>
        <w:t xml:space="preserve"> ekosystému. Jsou to společnosti, které se zabývají činnostmi souvisejícími s blockchainem, jako je „těžba“ kryptoměn, poskytují finanční služby v souvislosti s blockchainem, platební systémy a technologická řešení nebo působí v dalších souvisejících oblastech,</w:t>
      </w:r>
      <w:r w:rsidRPr="00891512">
        <w:rPr>
          <w:rFonts w:ascii="Invesco Interstate Light" w:eastAsiaTheme="minorEastAsia" w:hAnsi="Invesco Interstate Light"/>
          <w:sz w:val="22"/>
          <w:szCs w:val="22"/>
        </w:rPr>
        <w:t>“ doplňuje info</w:t>
      </w:r>
      <w:r>
        <w:rPr>
          <w:rFonts w:ascii="Invesco Interstate Light" w:eastAsiaTheme="minorEastAsia" w:hAnsi="Invesco Interstate Light"/>
          <w:sz w:val="22"/>
          <w:szCs w:val="22"/>
        </w:rPr>
        <w:t>rmace</w:t>
      </w:r>
      <w:r w:rsidRPr="00891512">
        <w:rPr>
          <w:rFonts w:ascii="Invesco Interstate Light" w:eastAsiaTheme="minorEastAsia" w:hAnsi="Invesco Interstate Light"/>
          <w:sz w:val="22"/>
          <w:szCs w:val="22"/>
        </w:rPr>
        <w:t xml:space="preserve"> k </w:t>
      </w:r>
      <w:r>
        <w:rPr>
          <w:rFonts w:ascii="Invesco Interstate Light" w:eastAsiaTheme="minorEastAsia" w:hAnsi="Invesco Interstate Light"/>
          <w:sz w:val="22"/>
          <w:szCs w:val="22"/>
        </w:rPr>
        <w:t>ETF</w:t>
      </w:r>
      <w:r w:rsidRPr="00891512">
        <w:rPr>
          <w:rFonts w:ascii="Invesco Interstate Light" w:eastAsiaTheme="minorEastAsia" w:hAnsi="Invesco Interstate Light"/>
          <w:sz w:val="22"/>
          <w:szCs w:val="22"/>
        </w:rPr>
        <w:t xml:space="preserve"> Eva </w:t>
      </w:r>
      <w:proofErr w:type="spellStart"/>
      <w:r w:rsidRPr="00891512">
        <w:rPr>
          <w:rFonts w:ascii="Invesco Interstate Light" w:eastAsiaTheme="minorEastAsia" w:hAnsi="Invesco Interstate Light"/>
          <w:sz w:val="22"/>
          <w:szCs w:val="22"/>
        </w:rPr>
        <w:t>Miklášová</w:t>
      </w:r>
      <w:proofErr w:type="spellEnd"/>
      <w:r>
        <w:rPr>
          <w:rFonts w:ascii="Invesco Interstate Light" w:eastAsiaTheme="minorEastAsia" w:hAnsi="Invesco Interstate Light"/>
          <w:sz w:val="22"/>
          <w:szCs w:val="22"/>
        </w:rPr>
        <w:t xml:space="preserve">, vedoucí distribuce ETF pro střední a východní Evropu společnosti </w:t>
      </w:r>
      <w:proofErr w:type="spellStart"/>
      <w:r>
        <w:rPr>
          <w:rFonts w:ascii="Invesco Interstate Light" w:eastAsiaTheme="minorEastAsia" w:hAnsi="Invesco Interstate Light"/>
          <w:sz w:val="22"/>
          <w:szCs w:val="22"/>
        </w:rPr>
        <w:t>Invesco</w:t>
      </w:r>
      <w:proofErr w:type="spellEnd"/>
      <w:r w:rsidRPr="00891512">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p>
    <w:p w14:paraId="56EE01E5" w14:textId="5D3FAC24" w:rsidR="00891512" w:rsidRPr="007217C7" w:rsidRDefault="00891512" w:rsidP="007217C7">
      <w:pPr>
        <w:spacing w:before="100" w:beforeAutospacing="1" w:after="100" w:afterAutospacing="1" w:line="276" w:lineRule="auto"/>
        <w:jc w:val="both"/>
        <w:rPr>
          <w:rFonts w:ascii="Invesco Interstate Light" w:eastAsiaTheme="minorEastAsia" w:hAnsi="Invesco Interstate Light"/>
          <w:sz w:val="22"/>
          <w:szCs w:val="22"/>
        </w:rPr>
      </w:pPr>
    </w:p>
    <w:p w14:paraId="3214D6FB" w14:textId="77777777" w:rsidR="007217C7" w:rsidRPr="007217C7" w:rsidRDefault="007217C7" w:rsidP="007217C7">
      <w:pPr>
        <w:spacing w:before="100" w:beforeAutospacing="1" w:after="100" w:afterAutospacing="1" w:line="276" w:lineRule="auto"/>
        <w:jc w:val="both"/>
        <w:rPr>
          <w:rFonts w:ascii="Invesco Interstate Light" w:eastAsiaTheme="minorEastAsia" w:hAnsi="Invesco Interstate Light"/>
          <w:sz w:val="22"/>
          <w:szCs w:val="22"/>
        </w:rPr>
      </w:pPr>
    </w:p>
    <w:p w14:paraId="2D36416E" w14:textId="77777777" w:rsidR="00F92020" w:rsidRPr="00F92020" w:rsidRDefault="00F92020" w:rsidP="00F92020">
      <w:pPr>
        <w:spacing w:line="276" w:lineRule="auto"/>
        <w:jc w:val="both"/>
        <w:rPr>
          <w:rFonts w:ascii="Invesco Interstate Light" w:eastAsiaTheme="minorEastAsia" w:hAnsi="Invesco Interstate Light"/>
          <w:sz w:val="22"/>
          <w:szCs w:val="22"/>
        </w:rPr>
      </w:pPr>
    </w:p>
    <w:p w14:paraId="49D4F7F9" w14:textId="77777777" w:rsidR="00F92020" w:rsidRDefault="00F92020" w:rsidP="00F92020">
      <w:pPr>
        <w:rPr>
          <w:i/>
        </w:rPr>
      </w:pPr>
    </w:p>
    <w:p w14:paraId="3F068FF2" w14:textId="77777777" w:rsidR="001C46C5" w:rsidRDefault="001C46C5" w:rsidP="00F92020">
      <w:pPr>
        <w:rPr>
          <w:i/>
        </w:rPr>
      </w:pPr>
    </w:p>
    <w:p w14:paraId="4C22411C" w14:textId="77777777" w:rsidR="001C46C5" w:rsidRDefault="001C46C5" w:rsidP="00F92020">
      <w:pPr>
        <w:rPr>
          <w:i/>
        </w:rPr>
      </w:pPr>
    </w:p>
    <w:p w14:paraId="6331CA06"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0820404B"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584F373D"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72070FA0"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3EF5F9E"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133F8DA"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1DEB5D6"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7F2A922"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34F67C0"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084C07E5"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D7992E"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551C745E"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3FA92140"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66D6BB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3EC93E2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4962BB6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6BBD538F"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93B84A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B5D675D"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953536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7CB41AA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46EFF90"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514F0610"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5FA869FA"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5AF697AD" w14:textId="77777777" w:rsidR="00861B48" w:rsidRPr="00861B48" w:rsidRDefault="00861B48" w:rsidP="00861B48">
      <w:pPr>
        <w:spacing w:line="240" w:lineRule="auto"/>
        <w:rPr>
          <w:rFonts w:ascii="Invesco Interstate Light" w:hAnsi="Invesco Interstate Light"/>
          <w:b/>
          <w:sz w:val="22"/>
          <w:szCs w:val="22"/>
          <w:u w:val="single"/>
        </w:rPr>
      </w:pPr>
    </w:p>
    <w:p w14:paraId="4125AB5A"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D2B7DED"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88ACBF4" w14:textId="77777777" w:rsidR="002355DD" w:rsidRPr="00873CBF" w:rsidRDefault="002355DD" w:rsidP="002355DD">
      <w:pPr>
        <w:spacing w:line="240" w:lineRule="exact"/>
        <w:rPr>
          <w:rFonts w:ascii="Invesco Interstate Light" w:hAnsi="Invesco Interstate Light"/>
          <w:sz w:val="22"/>
          <w:szCs w:val="22"/>
        </w:rPr>
      </w:pPr>
    </w:p>
    <w:p w14:paraId="2FBF4E32"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927A5F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61179BDF"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1C3A65B"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2212FF">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FBB72" w14:textId="77777777" w:rsidR="002212FF" w:rsidRDefault="002212FF">
      <w:r>
        <w:separator/>
      </w:r>
    </w:p>
  </w:endnote>
  <w:endnote w:type="continuationSeparator" w:id="0">
    <w:p w14:paraId="64DB375A" w14:textId="77777777" w:rsidR="002212FF" w:rsidRDefault="002212FF">
      <w:r>
        <w:continuationSeparator/>
      </w:r>
    </w:p>
  </w:endnote>
  <w:endnote w:type="continuationNotice" w:id="1">
    <w:p w14:paraId="7140579F" w14:textId="77777777" w:rsidR="002212FF" w:rsidRDefault="002212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E439" w14:textId="77777777" w:rsidR="002212FF" w:rsidRDefault="002212FF">
      <w:r>
        <w:separator/>
      </w:r>
    </w:p>
  </w:footnote>
  <w:footnote w:type="continuationSeparator" w:id="0">
    <w:p w14:paraId="5E0AD7DB" w14:textId="77777777" w:rsidR="002212FF" w:rsidRDefault="002212FF">
      <w:r>
        <w:continuationSeparator/>
      </w:r>
    </w:p>
  </w:footnote>
  <w:footnote w:type="continuationNotice" w:id="1">
    <w:p w14:paraId="04F96A36" w14:textId="77777777" w:rsidR="002212FF" w:rsidRDefault="002212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DBFA"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14156BF2" wp14:editId="14DAEA5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55E3C7C2"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1E733153" w14:textId="4A6D1C0D" w:rsidR="00702C33" w:rsidRPr="000730A6" w:rsidRDefault="007217C7" w:rsidP="0083625E">
    <w:pPr>
      <w:pStyle w:val="Zhlav"/>
      <w:pBdr>
        <w:top w:val="single" w:sz="4" w:space="3" w:color="auto"/>
      </w:pBdr>
      <w:spacing w:line="298" w:lineRule="exact"/>
      <w:ind w:left="3402"/>
      <w:jc w:val="right"/>
      <w:rPr>
        <w:color w:val="000000"/>
        <w:sz w:val="28"/>
        <w:szCs w:val="28"/>
      </w:rPr>
    </w:pPr>
    <w:r>
      <w:rPr>
        <w:color w:val="000000"/>
        <w:sz w:val="28"/>
        <w:szCs w:val="28"/>
      </w:rPr>
      <w:t>22</w:t>
    </w:r>
    <w:r w:rsidR="00071945">
      <w:rPr>
        <w:color w:val="000000"/>
        <w:sz w:val="28"/>
        <w:szCs w:val="28"/>
      </w:rPr>
      <w:t>.</w:t>
    </w:r>
    <w:r w:rsidR="00F92020">
      <w:rPr>
        <w:color w:val="000000"/>
        <w:sz w:val="28"/>
        <w:szCs w:val="28"/>
      </w:rPr>
      <w:t>2</w:t>
    </w:r>
    <w:r w:rsidR="0083625E">
      <w:rPr>
        <w:color w:val="000000"/>
        <w:sz w:val="28"/>
        <w:szCs w:val="28"/>
      </w:rPr>
      <w:t>.202</w:t>
    </w:r>
    <w:r w:rsidR="00F92020">
      <w:rPr>
        <w:color w:val="000000"/>
        <w:sz w:val="28"/>
        <w:szCs w:val="28"/>
      </w:rPr>
      <w:t>4</w:t>
    </w:r>
  </w:p>
  <w:p w14:paraId="4437FA7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28FB138"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D8E87F6"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7002C1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C5BF5"/>
    <w:multiLevelType w:val="hybridMultilevel"/>
    <w:tmpl w:val="58FAF736"/>
    <w:lvl w:ilvl="0" w:tplc="04050001">
      <w:start w:val="1"/>
      <w:numFmt w:val="bullet"/>
      <w:lvlText w:val=""/>
      <w:lvlJc w:val="left"/>
      <w:pPr>
        <w:ind w:left="927" w:hanging="360"/>
      </w:pPr>
      <w:rPr>
        <w:rFonts w:ascii="Symbol" w:hAnsi="Symbol" w:hint="default"/>
      </w:rPr>
    </w:lvl>
    <w:lvl w:ilvl="1" w:tplc="389C2F3A">
      <w:numFmt w:val="bullet"/>
      <w:lvlText w:val="-"/>
      <w:lvlJc w:val="left"/>
      <w:pPr>
        <w:ind w:left="1647" w:hanging="360"/>
      </w:pPr>
      <w:rPr>
        <w:rFonts w:ascii="Invesco Interstate Light" w:eastAsiaTheme="minorEastAsia" w:hAnsi="Invesco Interstate Light" w:cs="Times New Roman"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3B4E02"/>
    <w:multiLevelType w:val="multilevel"/>
    <w:tmpl w:val="B582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0C5257A9"/>
    <w:multiLevelType w:val="multilevel"/>
    <w:tmpl w:val="543298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AD3A5A"/>
    <w:multiLevelType w:val="hybridMultilevel"/>
    <w:tmpl w:val="7DC68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1E3E5723"/>
    <w:multiLevelType w:val="hybridMultilevel"/>
    <w:tmpl w:val="34EEE8A8"/>
    <w:lvl w:ilvl="0" w:tplc="04050001">
      <w:start w:val="1"/>
      <w:numFmt w:val="bullet"/>
      <w:lvlText w:val=""/>
      <w:lvlJc w:val="left"/>
      <w:pPr>
        <w:ind w:left="720" w:hanging="360"/>
      </w:pPr>
      <w:rPr>
        <w:rFonts w:ascii="Symbol" w:hAnsi="Symbol" w:hint="default"/>
      </w:rPr>
    </w:lvl>
    <w:lvl w:ilvl="1" w:tplc="389C2F3A">
      <w:numFmt w:val="bullet"/>
      <w:lvlText w:val="-"/>
      <w:lvlJc w:val="left"/>
      <w:pPr>
        <w:ind w:left="1440" w:hanging="360"/>
      </w:pPr>
      <w:rPr>
        <w:rFonts w:ascii="Invesco Interstate Light" w:eastAsiaTheme="minorEastAsia" w:hAnsi="Invesco Interstate Light"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E91A81"/>
    <w:multiLevelType w:val="hybridMultilevel"/>
    <w:tmpl w:val="DFCAE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A46D70"/>
    <w:multiLevelType w:val="multilevel"/>
    <w:tmpl w:val="11820CCE"/>
    <w:numStyleLink w:val="FormatvorlageAufgezhlt"/>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630B23"/>
    <w:multiLevelType w:val="multilevel"/>
    <w:tmpl w:val="11820CCE"/>
    <w:numStyleLink w:val="FormatvorlageAufgezhlt"/>
  </w:abstractNum>
  <w:abstractNum w:abstractNumId="20"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102286C"/>
    <w:multiLevelType w:val="hybridMultilevel"/>
    <w:tmpl w:val="01C08CD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E5380B"/>
    <w:multiLevelType w:val="multilevel"/>
    <w:tmpl w:val="11820CCE"/>
    <w:numStyleLink w:val="FormatvorlageAufgezhlt"/>
  </w:abstractNum>
  <w:abstractNum w:abstractNumId="31"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6523">
    <w:abstractNumId w:val="0"/>
  </w:num>
  <w:num w:numId="2" w16cid:durableId="1547791082">
    <w:abstractNumId w:val="16"/>
  </w:num>
  <w:num w:numId="3" w16cid:durableId="1755471719">
    <w:abstractNumId w:val="24"/>
  </w:num>
  <w:num w:numId="4" w16cid:durableId="758217674">
    <w:abstractNumId w:val="17"/>
  </w:num>
  <w:num w:numId="5" w16cid:durableId="2076974718">
    <w:abstractNumId w:val="19"/>
  </w:num>
  <w:num w:numId="6" w16cid:durableId="510730063">
    <w:abstractNumId w:val="26"/>
  </w:num>
  <w:num w:numId="7" w16cid:durableId="1033918760">
    <w:abstractNumId w:val="27"/>
  </w:num>
  <w:num w:numId="8" w16cid:durableId="1158576048">
    <w:abstractNumId w:val="1"/>
  </w:num>
  <w:num w:numId="9" w16cid:durableId="62485740">
    <w:abstractNumId w:val="30"/>
  </w:num>
  <w:num w:numId="10" w16cid:durableId="488253827">
    <w:abstractNumId w:val="15"/>
  </w:num>
  <w:num w:numId="11" w16cid:durableId="1442604358">
    <w:abstractNumId w:val="6"/>
  </w:num>
  <w:num w:numId="12" w16cid:durableId="8898478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3969842">
    <w:abstractNumId w:val="35"/>
  </w:num>
  <w:num w:numId="14" w16cid:durableId="637807393">
    <w:abstractNumId w:val="36"/>
  </w:num>
  <w:num w:numId="15" w16cid:durableId="1476875090">
    <w:abstractNumId w:val="23"/>
  </w:num>
  <w:num w:numId="16" w16cid:durableId="1972324655">
    <w:abstractNumId w:val="10"/>
  </w:num>
  <w:num w:numId="17" w16cid:durableId="1831630877">
    <w:abstractNumId w:val="2"/>
  </w:num>
  <w:num w:numId="18" w16cid:durableId="103966825">
    <w:abstractNumId w:val="25"/>
  </w:num>
  <w:num w:numId="19" w16cid:durableId="919558749">
    <w:abstractNumId w:val="28"/>
  </w:num>
  <w:num w:numId="20" w16cid:durableId="1537234565">
    <w:abstractNumId w:val="33"/>
  </w:num>
  <w:num w:numId="21" w16cid:durableId="1354376130">
    <w:abstractNumId w:val="32"/>
  </w:num>
  <w:num w:numId="22" w16cid:durableId="717819076">
    <w:abstractNumId w:val="14"/>
  </w:num>
  <w:num w:numId="23" w16cid:durableId="2104717872">
    <w:abstractNumId w:val="22"/>
  </w:num>
  <w:num w:numId="24" w16cid:durableId="1257788521">
    <w:abstractNumId w:val="18"/>
  </w:num>
  <w:num w:numId="25" w16cid:durableId="1125276436">
    <w:abstractNumId w:val="34"/>
  </w:num>
  <w:num w:numId="26" w16cid:durableId="1000086138">
    <w:abstractNumId w:val="21"/>
  </w:num>
  <w:num w:numId="27" w16cid:durableId="746922414">
    <w:abstractNumId w:val="4"/>
  </w:num>
  <w:num w:numId="28" w16cid:durableId="550306345">
    <w:abstractNumId w:val="8"/>
  </w:num>
  <w:num w:numId="29" w16cid:durableId="406150249">
    <w:abstractNumId w:val="31"/>
  </w:num>
  <w:num w:numId="30" w16cid:durableId="8600859">
    <w:abstractNumId w:val="20"/>
  </w:num>
  <w:num w:numId="31" w16cid:durableId="744958508">
    <w:abstractNumId w:val="9"/>
  </w:num>
  <w:num w:numId="32" w16cid:durableId="2168749">
    <w:abstractNumId w:val="3"/>
  </w:num>
  <w:num w:numId="33" w16cid:durableId="510753490">
    <w:abstractNumId w:val="5"/>
  </w:num>
  <w:num w:numId="34" w16cid:durableId="1527526861">
    <w:abstractNumId w:val="11"/>
  </w:num>
  <w:num w:numId="35" w16cid:durableId="310795662">
    <w:abstractNumId w:val="13"/>
  </w:num>
  <w:num w:numId="36" w16cid:durableId="1187134597">
    <w:abstractNumId w:val="29"/>
  </w:num>
  <w:num w:numId="37" w16cid:durableId="1045712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632"/>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945"/>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BD0"/>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4E66"/>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87C9C"/>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6C5"/>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12F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56D39"/>
    <w:rsid w:val="00256D9E"/>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27C"/>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2DB"/>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4991"/>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42D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17C7"/>
    <w:rsid w:val="00722056"/>
    <w:rsid w:val="00722112"/>
    <w:rsid w:val="00722603"/>
    <w:rsid w:val="0072297D"/>
    <w:rsid w:val="0072341C"/>
    <w:rsid w:val="0072363E"/>
    <w:rsid w:val="00723DAC"/>
    <w:rsid w:val="00723FE7"/>
    <w:rsid w:val="00724C95"/>
    <w:rsid w:val="007269E7"/>
    <w:rsid w:val="00726E49"/>
    <w:rsid w:val="00727761"/>
    <w:rsid w:val="00727FF7"/>
    <w:rsid w:val="007303C6"/>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4DC1"/>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7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512"/>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5E7D"/>
    <w:rsid w:val="0092629E"/>
    <w:rsid w:val="0092679E"/>
    <w:rsid w:val="00926B93"/>
    <w:rsid w:val="00927294"/>
    <w:rsid w:val="0092729C"/>
    <w:rsid w:val="0093014C"/>
    <w:rsid w:val="009301E1"/>
    <w:rsid w:val="00932436"/>
    <w:rsid w:val="00932BE3"/>
    <w:rsid w:val="0093450B"/>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204"/>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70C"/>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608"/>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57C2A"/>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77"/>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3E65"/>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2B90"/>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9C8"/>
    <w:rsid w:val="00F45EFA"/>
    <w:rsid w:val="00F468AE"/>
    <w:rsid w:val="00F46AE0"/>
    <w:rsid w:val="00F46F2F"/>
    <w:rsid w:val="00F478C2"/>
    <w:rsid w:val="00F50449"/>
    <w:rsid w:val="00F50553"/>
    <w:rsid w:val="00F5076B"/>
    <w:rsid w:val="00F50E3B"/>
    <w:rsid w:val="00F51E20"/>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020"/>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5D3"/>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4BC4E"/>
  <w15:docId w15:val="{7671B212-F2FF-4E60-9912-0F263194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accordion-v2head-title-inner">
    <w:name w:val="accordion-v2__head-title-inner"/>
    <w:basedOn w:val="Standardnpsmoodstavce"/>
    <w:rsid w:val="0089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618683348">
      <w:bodyDiv w:val="1"/>
      <w:marLeft w:val="0"/>
      <w:marRight w:val="0"/>
      <w:marTop w:val="0"/>
      <w:marBottom w:val="0"/>
      <w:divBdr>
        <w:top w:val="none" w:sz="0" w:space="0" w:color="auto"/>
        <w:left w:val="none" w:sz="0" w:space="0" w:color="auto"/>
        <w:bottom w:val="none" w:sz="0" w:space="0" w:color="auto"/>
        <w:right w:val="none" w:sz="0" w:space="0" w:color="auto"/>
      </w:divBdr>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079278-2CAE-46FD-B48E-7883658EC95B}">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7321</Characters>
  <Application>Microsoft Office Word</Application>
  <DocSecurity>0</DocSecurity>
  <Lines>61</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2024-02-22T14:15:00Z</dcterms:created>
  <dcterms:modified xsi:type="dcterms:W3CDTF">2024-02-22T14:15:00Z</dcterms:modified>
</cp:coreProperties>
</file>